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F3" w:rsidRPr="00416DD9" w:rsidRDefault="00F07EF3" w:rsidP="00F07EF3">
      <w:pPr>
        <w:shd w:val="clear" w:color="auto" w:fill="E2EFD9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PRILOG 2.</w:t>
      </w:r>
    </w:p>
    <w:p w:rsidR="00F07EF3" w:rsidRDefault="00F07EF3" w:rsidP="00F07EF3">
      <w:pPr>
        <w:rPr>
          <w:b/>
        </w:rPr>
      </w:pPr>
    </w:p>
    <w:p w:rsidR="00F07EF3" w:rsidRPr="007C634B" w:rsidRDefault="00F07EF3" w:rsidP="00F07EF3">
      <w:pPr>
        <w:jc w:val="center"/>
        <w:rPr>
          <w:rFonts w:ascii="Arial Narrow" w:hAnsi="Arial Narrow"/>
          <w:b/>
        </w:rPr>
      </w:pPr>
      <w:r w:rsidRPr="007C634B">
        <w:rPr>
          <w:rFonts w:ascii="Arial Narrow" w:hAnsi="Arial Narrow"/>
          <w:b/>
        </w:rPr>
        <w:t>IZJAVA</w:t>
      </w:r>
    </w:p>
    <w:p w:rsidR="00F07EF3" w:rsidRPr="007C634B" w:rsidRDefault="00F07EF3" w:rsidP="00F07EF3">
      <w:pPr>
        <w:jc w:val="center"/>
        <w:rPr>
          <w:rFonts w:ascii="Arial Narrow" w:hAnsi="Arial Narrow"/>
        </w:rPr>
      </w:pPr>
      <w:r w:rsidRPr="007C634B">
        <w:rPr>
          <w:rFonts w:ascii="Arial Narrow" w:hAnsi="Arial Narrow"/>
          <w:b/>
        </w:rPr>
        <w:t>o načinu korištenja javne usluge za prikupljanje miješanog i biorazgradivog komunalnog otpada za fizičke osobe, pravne osobe i obrtnike u višestambenim zgradama koji koriste zajedničke spremnike</w:t>
      </w:r>
    </w:p>
    <w:p w:rsidR="009D5680" w:rsidRDefault="009D5680"/>
    <w:tbl>
      <w:tblPr>
        <w:tblW w:w="5000" w:type="pct"/>
        <w:tblLook w:val="04A0" w:firstRow="1" w:lastRow="0" w:firstColumn="1" w:lastColumn="0" w:noHBand="0" w:noVBand="1"/>
      </w:tblPr>
      <w:tblGrid>
        <w:gridCol w:w="1274"/>
        <w:gridCol w:w="2823"/>
        <w:gridCol w:w="2436"/>
        <w:gridCol w:w="2529"/>
      </w:tblGrid>
      <w:tr w:rsidR="004B7992" w:rsidRPr="00D024FA" w:rsidTr="002045C7">
        <w:trPr>
          <w:trHeight w:val="660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Prijedlog davatelja usluge</w:t>
            </w:r>
          </w:p>
        </w:tc>
        <w:tc>
          <w:tcPr>
            <w:tcW w:w="1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Očitovanje korisnika usluge</w:t>
            </w:r>
            <w:r w:rsidRPr="00D024FA">
              <w:rPr>
                <w:rFonts w:ascii="Arial Narrow" w:hAnsi="Arial Narrow"/>
              </w:rPr>
              <w:br/>
              <w:t xml:space="preserve">ukoliko su podaci točni i ukoliko se slažete sa </w:t>
            </w:r>
            <w:r>
              <w:rPr>
                <w:rFonts w:ascii="Arial Narrow" w:hAnsi="Arial Narrow"/>
              </w:rPr>
              <w:t>prijedlogom upišite  DA</w:t>
            </w:r>
          </w:p>
        </w:tc>
      </w:tr>
      <w:tr w:rsidR="004B7992" w:rsidRPr="00D024FA" w:rsidTr="002045C7">
        <w:trPr>
          <w:trHeight w:val="600"/>
        </w:trPr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1.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Obračunsko mjesto:</w:t>
            </w:r>
            <w:r w:rsidRPr="00D024FA">
              <w:rPr>
                <w:rFonts w:ascii="Arial Narrow" w:hAnsi="Arial Narrow"/>
              </w:rPr>
              <w:br/>
              <w:t>(adresa nekretnine</w:t>
            </w:r>
            <w:r>
              <w:rPr>
                <w:rFonts w:ascii="Arial Narrow" w:hAnsi="Arial Narrow"/>
              </w:rPr>
              <w:t xml:space="preserve"> / mjesto primopredaje</w:t>
            </w:r>
            <w:r w:rsidRPr="00D024FA">
              <w:rPr>
                <w:rFonts w:ascii="Arial Narrow" w:hAnsi="Arial Narrow"/>
              </w:rPr>
              <w:t>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630"/>
        </w:trPr>
        <w:tc>
          <w:tcPr>
            <w:tcW w:w="6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2.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Ime i prezime</w:t>
            </w:r>
            <w:r>
              <w:rPr>
                <w:rFonts w:ascii="Arial Narrow" w:hAnsi="Arial Narrow"/>
              </w:rPr>
              <w:t xml:space="preserve"> fizičke osobe</w:t>
            </w:r>
            <w:r w:rsidRPr="00D024FA">
              <w:rPr>
                <w:rFonts w:ascii="Arial Narrow" w:hAnsi="Arial Narrow"/>
              </w:rPr>
              <w:t xml:space="preserve"> ili naziv pravne osobe ili fizičke osobe koje obavljaju samostalnu djelatnost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510"/>
        </w:trPr>
        <w:tc>
          <w:tcPr>
            <w:tcW w:w="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OIB korisnika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510"/>
        </w:trPr>
        <w:tc>
          <w:tcPr>
            <w:tcW w:w="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Adresa korisnika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600"/>
        </w:trPr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D024FA">
              <w:rPr>
                <w:rFonts w:ascii="Arial Narrow" w:hAnsi="Arial Narrow"/>
              </w:rPr>
              <w:t>.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Udio u korištenju spremnika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600"/>
        </w:trPr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D024FA">
              <w:rPr>
                <w:rFonts w:ascii="Arial Narrow" w:hAnsi="Arial Narrow"/>
              </w:rPr>
              <w:t>.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 xml:space="preserve">Vrsta i broj spremnika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 xml:space="preserve">    </w:t>
            </w:r>
          </w:p>
        </w:tc>
      </w:tr>
      <w:tr w:rsidR="004B7992" w:rsidRPr="00D024FA" w:rsidTr="002045C7">
        <w:trPr>
          <w:trHeight w:val="573"/>
        </w:trPr>
        <w:tc>
          <w:tcPr>
            <w:tcW w:w="6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a)</w:t>
            </w:r>
          </w:p>
        </w:tc>
        <w:tc>
          <w:tcPr>
            <w:tcW w:w="4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za individualne korisnike</w:t>
            </w:r>
            <w:r w:rsidR="004B7992">
              <w:rPr>
                <w:rFonts w:ascii="Arial Narrow" w:hAnsi="Arial Narrow"/>
              </w:rPr>
              <w:t>:</w:t>
            </w:r>
          </w:p>
          <w:p w:rsidR="00F07EF3" w:rsidRPr="00D024FA" w:rsidRDefault="00AD4AAF" w:rsidP="004B799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zaduženi spremnik</w:t>
            </w:r>
            <w:r w:rsidR="00F07EF3"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435"/>
        </w:trPr>
        <w:tc>
          <w:tcPr>
            <w:tcW w:w="6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spremnik za miješani komunalni otpad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435"/>
        </w:trPr>
        <w:tc>
          <w:tcPr>
            <w:tcW w:w="6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 xml:space="preserve">spremnik za </w:t>
            </w:r>
            <w:r>
              <w:rPr>
                <w:rFonts w:ascii="Arial Narrow" w:hAnsi="Arial Narrow"/>
              </w:rPr>
              <w:t>biorazgradivi</w:t>
            </w:r>
            <w:r w:rsidRPr="00D024FA">
              <w:rPr>
                <w:rFonts w:ascii="Arial Narrow" w:hAnsi="Arial Narrow"/>
              </w:rPr>
              <w:t xml:space="preserve"> komunalni otpad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</w:tr>
      <w:tr w:rsidR="004B7992" w:rsidRPr="00D024FA" w:rsidTr="002045C7">
        <w:trPr>
          <w:trHeight w:val="435"/>
        </w:trPr>
        <w:tc>
          <w:tcPr>
            <w:tcW w:w="6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Spremnik za otpadni papir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</w:tr>
      <w:tr w:rsidR="004B7992" w:rsidRPr="00D024FA" w:rsidTr="002045C7">
        <w:trPr>
          <w:trHeight w:val="435"/>
        </w:trPr>
        <w:tc>
          <w:tcPr>
            <w:tcW w:w="6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Spremnik za plastiku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</w:tr>
      <w:tr w:rsidR="004B7992" w:rsidRPr="00D024FA" w:rsidTr="002045C7">
        <w:trPr>
          <w:trHeight w:val="435"/>
        </w:trPr>
        <w:tc>
          <w:tcPr>
            <w:tcW w:w="6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Spremnik za staklo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</w:tr>
      <w:tr w:rsidR="004B7992" w:rsidRPr="00D024FA" w:rsidTr="002045C7">
        <w:trPr>
          <w:trHeight w:val="435"/>
        </w:trPr>
        <w:tc>
          <w:tcPr>
            <w:tcW w:w="6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Spremnik za metal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</w:tr>
      <w:tr w:rsidR="004B7992" w:rsidRPr="00D024FA" w:rsidTr="002045C7">
        <w:trPr>
          <w:trHeight w:val="435"/>
        </w:trPr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Spremnik za tekstil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</w:tr>
      <w:tr w:rsidR="004B7992" w:rsidRPr="00D024FA" w:rsidTr="002045C7">
        <w:trPr>
          <w:trHeight w:val="579"/>
        </w:trPr>
        <w:tc>
          <w:tcPr>
            <w:tcW w:w="66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AAF" w:rsidRPr="00D024FA" w:rsidRDefault="00AD4AAF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b)</w:t>
            </w:r>
          </w:p>
        </w:tc>
        <w:tc>
          <w:tcPr>
            <w:tcW w:w="4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AF" w:rsidRDefault="00AD4AAF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za višestambe</w:t>
            </w:r>
            <w:r w:rsidR="004B7992">
              <w:rPr>
                <w:rFonts w:ascii="Arial Narrow" w:hAnsi="Arial Narrow"/>
              </w:rPr>
              <w:t>ne zgrade:</w:t>
            </w:r>
          </w:p>
          <w:p w:rsidR="00AD4AAF" w:rsidRPr="00D024FA" w:rsidRDefault="00AD4AAF" w:rsidP="004B79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zajednički spremnici </w:t>
            </w:r>
          </w:p>
        </w:tc>
      </w:tr>
      <w:tr w:rsidR="004B7992" w:rsidRPr="00D024FA" w:rsidTr="002045C7">
        <w:trPr>
          <w:trHeight w:val="510"/>
        </w:trPr>
        <w:tc>
          <w:tcPr>
            <w:tcW w:w="6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spremnik za miješani komunalni otpad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435"/>
        </w:trPr>
        <w:tc>
          <w:tcPr>
            <w:tcW w:w="6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spremnik za papir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435"/>
        </w:trPr>
        <w:tc>
          <w:tcPr>
            <w:tcW w:w="6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spremnik za plastiku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435"/>
        </w:trPr>
        <w:tc>
          <w:tcPr>
            <w:tcW w:w="6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spremnik za staklo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435"/>
        </w:trPr>
        <w:tc>
          <w:tcPr>
            <w:tcW w:w="6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spremnik za met ambalažu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435"/>
        </w:trPr>
        <w:tc>
          <w:tcPr>
            <w:tcW w:w="6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  <w:p w:rsidR="0085112A" w:rsidRPr="00D024FA" w:rsidRDefault="0085112A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 xml:space="preserve">spremnik za biootpad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630"/>
        </w:trPr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</w:t>
            </w:r>
            <w:r w:rsidRPr="00D024FA">
              <w:rPr>
                <w:rFonts w:ascii="Arial Narrow" w:hAnsi="Arial Narrow"/>
              </w:rPr>
              <w:t>.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Broj planiranih primopredaja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435"/>
        </w:trPr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 xml:space="preserve">Miješani komunalni otpad (MKO)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435"/>
        </w:trPr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Papir i karton</w:t>
            </w:r>
            <w:r>
              <w:rPr>
                <w:rFonts w:ascii="Arial Narrow" w:hAnsi="Arial Narrow"/>
              </w:rPr>
              <w:t>, staklo, plastika, metal, tekstil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435"/>
        </w:trPr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Biootpad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555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D024FA">
              <w:rPr>
                <w:rFonts w:ascii="Arial Narrow" w:hAnsi="Arial Narrow"/>
              </w:rPr>
              <w:t>.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Očitovanje o vlastitom kompostiranju biootpada:(korisnik ne koristi uslugu odvoza biootpada)</w:t>
            </w:r>
          </w:p>
        </w:tc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555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12A" w:rsidRDefault="0085112A" w:rsidP="006E7F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2A" w:rsidRPr="00D024FA" w:rsidRDefault="0085112A" w:rsidP="006E7F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Obračunsko razdobolje</w:t>
            </w:r>
          </w:p>
        </w:tc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12A" w:rsidRPr="00D024FA" w:rsidRDefault="0085112A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12A" w:rsidRPr="00D024FA" w:rsidRDefault="0085112A" w:rsidP="006E7FC0">
            <w:pPr>
              <w:jc w:val="both"/>
              <w:rPr>
                <w:rFonts w:ascii="Arial Narrow" w:hAnsi="Arial Narrow"/>
              </w:rPr>
            </w:pPr>
          </w:p>
        </w:tc>
      </w:tr>
      <w:tr w:rsidR="004B7992" w:rsidRPr="00D024FA" w:rsidTr="002045C7">
        <w:trPr>
          <w:trHeight w:val="795"/>
        </w:trPr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85112A" w:rsidP="006E7F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F07EF3" w:rsidRPr="00D024FA">
              <w:rPr>
                <w:rFonts w:ascii="Arial Narrow" w:hAnsi="Arial Narrow"/>
              </w:rPr>
              <w:t>.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7EF3" w:rsidRPr="00D024FA" w:rsidRDefault="0085112A" w:rsidP="006E7F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Očitovanje o korištenju nekretnine - eventualno </w:t>
            </w:r>
            <w:r w:rsidR="00F07EF3" w:rsidRPr="00D024FA">
              <w:rPr>
                <w:rFonts w:ascii="Arial Narrow" w:hAnsi="Arial Narrow"/>
              </w:rPr>
              <w:t>nekorištenje nekretnine godinu dana i više. Zahtjev</w:t>
            </w:r>
            <w:r>
              <w:rPr>
                <w:rFonts w:ascii="Arial Narrow" w:hAnsi="Arial Narrow"/>
              </w:rPr>
              <w:t xml:space="preserve"> se podnosi svake godine</w:t>
            </w:r>
          </w:p>
        </w:tc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od______</w:t>
            </w:r>
            <w:r w:rsidR="004B7992">
              <w:rPr>
                <w:rFonts w:ascii="Arial Narrow" w:hAnsi="Arial Narrow"/>
              </w:rPr>
              <w:t>___</w:t>
            </w:r>
            <w:r w:rsidRPr="00D024FA">
              <w:rPr>
                <w:rFonts w:ascii="Arial Narrow" w:hAnsi="Arial Narrow"/>
              </w:rPr>
              <w:t>do_______</w:t>
            </w:r>
          </w:p>
        </w:tc>
      </w:tr>
      <w:tr w:rsidR="00007199" w:rsidRPr="00D024FA" w:rsidTr="002045C7">
        <w:trPr>
          <w:trHeight w:val="600"/>
        </w:trPr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85112A" w:rsidP="006E7F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F07EF3" w:rsidRPr="00D024FA">
              <w:rPr>
                <w:rFonts w:ascii="Arial Narrow" w:hAnsi="Arial Narrow"/>
              </w:rPr>
              <w:t>.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Izvadak iz cjenika javne usluge</w:t>
            </w:r>
          </w:p>
        </w:tc>
        <w:tc>
          <w:tcPr>
            <w:tcW w:w="27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</w:tr>
      <w:tr w:rsidR="00007199" w:rsidRPr="00D024FA" w:rsidTr="002045C7">
        <w:trPr>
          <w:trHeight w:val="630"/>
        </w:trPr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Cijena minimalne javne usluge (MJU):</w:t>
            </w:r>
          </w:p>
        </w:tc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 xml:space="preserve">   </w:t>
            </w:r>
          </w:p>
        </w:tc>
      </w:tr>
      <w:tr w:rsidR="00007199" w:rsidRPr="00D024FA" w:rsidTr="002045C7">
        <w:trPr>
          <w:trHeight w:val="567"/>
        </w:trPr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Jedinična cijen</w:t>
            </w:r>
            <w:r>
              <w:rPr>
                <w:rFonts w:ascii="Arial Narrow" w:hAnsi="Arial Narrow"/>
              </w:rPr>
              <w:t>a pražnjena volumena spremnika</w:t>
            </w:r>
            <w:r w:rsidRPr="00D024FA">
              <w:rPr>
                <w:rFonts w:ascii="Arial Narrow" w:hAnsi="Arial Narrow"/>
              </w:rPr>
              <w:t>:</w:t>
            </w:r>
          </w:p>
        </w:tc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007199" w:rsidRPr="00D024FA" w:rsidTr="002045C7">
        <w:trPr>
          <w:trHeight w:val="435"/>
        </w:trPr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Ukupan volumen spremnika</w:t>
            </w:r>
            <w:r w:rsidRPr="00D024F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007199" w:rsidRPr="00D024FA" w:rsidTr="002045C7">
        <w:trPr>
          <w:trHeight w:val="435"/>
        </w:trPr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5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 xml:space="preserve">Broj pražnjenja spremnika </w:t>
            </w:r>
          </w:p>
        </w:tc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007199" w:rsidRPr="00D024FA" w:rsidTr="002045C7">
        <w:trPr>
          <w:trHeight w:val="435"/>
        </w:trPr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  <w:tc>
          <w:tcPr>
            <w:tcW w:w="1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Udio korisnika u</w:t>
            </w:r>
            <w:r>
              <w:rPr>
                <w:rFonts w:ascii="Arial Narrow" w:hAnsi="Arial Narrow"/>
              </w:rPr>
              <w:t xml:space="preserve">sluge u korištenju spremnika </w:t>
            </w:r>
          </w:p>
        </w:tc>
        <w:tc>
          <w:tcPr>
            <w:tcW w:w="27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4B7992" w:rsidRPr="00D024FA" w:rsidTr="002045C7">
        <w:trPr>
          <w:trHeight w:val="3339"/>
        </w:trPr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EF3" w:rsidRPr="00D024FA" w:rsidRDefault="0085112A" w:rsidP="006E7F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F07EF3" w:rsidRPr="00D024FA">
              <w:rPr>
                <w:rFonts w:ascii="Arial Narrow" w:hAnsi="Arial Narrow"/>
              </w:rPr>
              <w:t>.</w:t>
            </w:r>
          </w:p>
        </w:tc>
        <w:tc>
          <w:tcPr>
            <w:tcW w:w="43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Napomene korisnika usluge (promjena i dopuna podataka iz Izjave):</w:t>
            </w:r>
          </w:p>
        </w:tc>
      </w:tr>
      <w:tr w:rsidR="00007199" w:rsidRPr="00D024FA" w:rsidTr="002045C7">
        <w:trPr>
          <w:trHeight w:val="525"/>
        </w:trPr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EF3" w:rsidRPr="00D024FA" w:rsidRDefault="00F07EF3" w:rsidP="0085112A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1</w:t>
            </w:r>
            <w:r w:rsidR="0085112A">
              <w:rPr>
                <w:rFonts w:ascii="Arial Narrow" w:hAnsi="Arial Narrow"/>
              </w:rPr>
              <w:t>1</w:t>
            </w:r>
            <w:r w:rsidRPr="00D024FA">
              <w:rPr>
                <w:rFonts w:ascii="Arial Narrow" w:hAnsi="Arial Narrow"/>
              </w:rPr>
              <w:t>.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Datum primjene izjave</w:t>
            </w:r>
          </w:p>
        </w:tc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 w:rsidRPr="00D024FA">
              <w:rPr>
                <w:rFonts w:ascii="Arial Narrow" w:hAnsi="Arial Narrow"/>
              </w:rPr>
              <w:t> </w:t>
            </w:r>
          </w:p>
        </w:tc>
      </w:tr>
      <w:tr w:rsidR="00007199" w:rsidRPr="00D024FA" w:rsidTr="002045C7">
        <w:trPr>
          <w:trHeight w:val="525"/>
        </w:trPr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EF3" w:rsidRPr="00D024FA" w:rsidRDefault="00F07EF3" w:rsidP="0085112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5112A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Vlastoručni potpis</w:t>
            </w:r>
          </w:p>
        </w:tc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</w:tr>
      <w:tr w:rsidR="004B7992" w:rsidRPr="00D024FA" w:rsidTr="004B7992">
        <w:trPr>
          <w:trHeight w:val="525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992" w:rsidRPr="00D024FA" w:rsidRDefault="004B7992" w:rsidP="006E7F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Potpisom ove Izjave korisnik usluge potrvđuje da je upoznat sa svim odredbama Općih uvjeta Ugovora o korištenju javne usluge prikupljanja miješanog komunalnog otpada i biorazgradivog komunalnog otpada te odrebama Ugovora o korištenju javne usluge</w:t>
            </w:r>
            <w:r w:rsidR="00007199">
              <w:rPr>
                <w:rFonts w:ascii="Arial Narrow" w:hAnsi="Arial Narrow"/>
              </w:rPr>
              <w:t xml:space="preserve"> te pristaje na primjenu istih.</w:t>
            </w:r>
          </w:p>
        </w:tc>
      </w:tr>
      <w:tr w:rsidR="004B7992" w:rsidRPr="00D024FA" w:rsidTr="002045C7">
        <w:trPr>
          <w:trHeight w:val="690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EF3" w:rsidRPr="00D024FA" w:rsidRDefault="00F07EF3" w:rsidP="006E7FC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07EF3" w:rsidRDefault="00F07EF3"/>
    <w:p w:rsidR="00BE7A30" w:rsidRDefault="00BE7A30" w:rsidP="00BE7A30">
      <w:pPr>
        <w:rPr>
          <w:rFonts w:ascii="Arial Narrow" w:hAnsi="Arial Narrow"/>
          <w:b/>
          <w:bCs/>
        </w:rPr>
      </w:pPr>
      <w:r w:rsidRPr="00D024FA">
        <w:rPr>
          <w:rFonts w:ascii="Arial Narrow" w:hAnsi="Arial Narrow"/>
          <w:b/>
          <w:bCs/>
        </w:rPr>
        <w:t>DODATNE NAPOMENE ZA KORISNIKA USLUGE</w:t>
      </w:r>
    </w:p>
    <w:p w:rsidR="00FD0EE0" w:rsidRDefault="00FD0EE0" w:rsidP="00BE7A30">
      <w:pPr>
        <w:rPr>
          <w:rFonts w:ascii="Arial Narrow" w:hAnsi="Arial Narrow"/>
          <w:b/>
          <w:bCs/>
        </w:rPr>
      </w:pPr>
    </w:p>
    <w:p w:rsidR="00BE7A30" w:rsidRDefault="00BE7A30" w:rsidP="007E33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Ukoliko su podaci u stupcu „Prijedlog davatelja usluge“ točni i vjerodostojni te ukoliko se korisnik usluge slaže sa dostavljenim prijedlogom, molimo da se u stupac „Očitovanje korisnika usluge“ upiše „DA“.</w:t>
      </w:r>
    </w:p>
    <w:p w:rsidR="00BE7A30" w:rsidRDefault="00BE7A30" w:rsidP="007E33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Ukoliko su podaci u stupcu „Prijedlog davatelja usluge“ netočni, molimo da se u stupac „Očitovanje korisnika usluge“ upišu točni podaci.</w:t>
      </w:r>
    </w:p>
    <w:p w:rsidR="00FD0EE0" w:rsidRDefault="00FD0EE0" w:rsidP="007E339E">
      <w:pPr>
        <w:jc w:val="both"/>
        <w:rPr>
          <w:rFonts w:ascii="Arial Narrow" w:hAnsi="Arial Narrow"/>
        </w:rPr>
      </w:pPr>
    </w:p>
    <w:p w:rsidR="00FD0EE0" w:rsidRDefault="00FD0EE0" w:rsidP="007E33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Korisnik usluge</w:t>
      </w:r>
      <w:r w:rsidRPr="00D024FA">
        <w:rPr>
          <w:rFonts w:ascii="Arial Narrow" w:hAnsi="Arial Narrow"/>
        </w:rPr>
        <w:t xml:space="preserve"> dužan</w:t>
      </w:r>
      <w:r>
        <w:rPr>
          <w:rFonts w:ascii="Arial Narrow" w:hAnsi="Arial Narrow"/>
        </w:rPr>
        <w:t xml:space="preserve"> je</w:t>
      </w:r>
      <w:r w:rsidRPr="00D024FA">
        <w:rPr>
          <w:rFonts w:ascii="Arial Narrow" w:hAnsi="Arial Narrow"/>
        </w:rPr>
        <w:t xml:space="preserve"> vratiti davatelju usluge 2 primjerka potpisane Izjave u pisanom obliku u roku 15 dana od dana zaprimanja iste (poštom, elektroničkim putem, osobno u prostorije </w:t>
      </w:r>
      <w:r>
        <w:rPr>
          <w:rFonts w:ascii="Arial Narrow" w:hAnsi="Arial Narrow"/>
        </w:rPr>
        <w:t>Ivkom-a Ivanec</w:t>
      </w:r>
      <w:r w:rsidRPr="00D024FA">
        <w:rPr>
          <w:rFonts w:ascii="Arial Narrow" w:hAnsi="Arial Narrow"/>
        </w:rPr>
        <w:t>).</w:t>
      </w:r>
    </w:p>
    <w:p w:rsidR="00FD0EE0" w:rsidRDefault="00FD0EE0" w:rsidP="007E339E">
      <w:pPr>
        <w:jc w:val="both"/>
        <w:rPr>
          <w:rFonts w:ascii="Arial Narrow" w:hAnsi="Arial Narrow"/>
        </w:rPr>
      </w:pPr>
      <w:r w:rsidRPr="00D024FA">
        <w:rPr>
          <w:rFonts w:ascii="Arial Narrow" w:hAnsi="Arial Narrow"/>
        </w:rPr>
        <w:t>Davatelj usluge nakon zaprimanja Izjave  dužan je korisniku usluge vratiti jedan ov</w:t>
      </w:r>
      <w:r w:rsidR="00136EBE">
        <w:rPr>
          <w:rFonts w:ascii="Arial Narrow" w:hAnsi="Arial Narrow"/>
        </w:rPr>
        <w:t>jereni primjerak Izjave u roku 8</w:t>
      </w:r>
      <w:r w:rsidRPr="00D024FA">
        <w:rPr>
          <w:rFonts w:ascii="Arial Narrow" w:hAnsi="Arial Narrow"/>
        </w:rPr>
        <w:t xml:space="preserve"> dana od zaprimanja iste.</w:t>
      </w:r>
    </w:p>
    <w:p w:rsidR="00FD0EE0" w:rsidRDefault="00FD0EE0" w:rsidP="007E339E">
      <w:pPr>
        <w:jc w:val="both"/>
        <w:rPr>
          <w:rFonts w:ascii="Arial Narrow" w:hAnsi="Arial Narrow"/>
        </w:rPr>
      </w:pPr>
      <w:r w:rsidRPr="00D024FA">
        <w:rPr>
          <w:rFonts w:ascii="Arial Narrow" w:hAnsi="Arial Narrow"/>
        </w:rPr>
        <w:t>Davatelj usluge dužan je primijeniti podatak iz Izjave koji je naveo korisnik usluge (očitovanje korisnika usluge) ka</w:t>
      </w:r>
      <w:r>
        <w:rPr>
          <w:rFonts w:ascii="Arial Narrow" w:hAnsi="Arial Narrow"/>
        </w:rPr>
        <w:t>da je taj podatak u skladu sa Za</w:t>
      </w:r>
      <w:r w:rsidRPr="00D024FA">
        <w:rPr>
          <w:rFonts w:ascii="Arial Narrow" w:hAnsi="Arial Narrow"/>
        </w:rPr>
        <w:t>k</w:t>
      </w:r>
      <w:r>
        <w:rPr>
          <w:rFonts w:ascii="Arial Narrow" w:hAnsi="Arial Narrow"/>
        </w:rPr>
        <w:t>on</w:t>
      </w:r>
      <w:r w:rsidRPr="00D024FA">
        <w:rPr>
          <w:rFonts w:ascii="Arial Narrow" w:hAnsi="Arial Narrow"/>
        </w:rPr>
        <w:t>om, Uredbom i Odlukom.</w:t>
      </w:r>
    </w:p>
    <w:p w:rsidR="00FD0EE0" w:rsidRDefault="00FD0EE0" w:rsidP="007E339E">
      <w:pPr>
        <w:jc w:val="both"/>
        <w:rPr>
          <w:rFonts w:ascii="Arial Narrow" w:hAnsi="Arial Narrow"/>
        </w:rPr>
      </w:pPr>
      <w:r w:rsidRPr="00D024FA">
        <w:rPr>
          <w:rFonts w:ascii="Arial Narrow" w:hAnsi="Arial Narrow"/>
        </w:rPr>
        <w:t>Ukoliko korisnik usluge ne dostavi davatelju usluge Izjavu u roku 15 dana od dan</w:t>
      </w:r>
      <w:r>
        <w:rPr>
          <w:rFonts w:ascii="Arial Narrow" w:hAnsi="Arial Narrow"/>
        </w:rPr>
        <w:t xml:space="preserve">a zaprimanja iste, primjenjivati </w:t>
      </w:r>
      <w:r w:rsidRPr="00D024FA">
        <w:rPr>
          <w:rFonts w:ascii="Arial Narrow" w:hAnsi="Arial Narrow"/>
        </w:rPr>
        <w:t>će se podaci iz Izjave koje je naveo davatelj  usluge.</w:t>
      </w:r>
    </w:p>
    <w:p w:rsidR="00FD0EE0" w:rsidRDefault="00FD0EE0" w:rsidP="007E339E">
      <w:pPr>
        <w:jc w:val="both"/>
        <w:rPr>
          <w:rFonts w:ascii="Arial Narrow" w:hAnsi="Arial Narrow"/>
        </w:rPr>
      </w:pPr>
    </w:p>
    <w:p w:rsidR="00BE7A30" w:rsidRDefault="00BE7A30" w:rsidP="007E33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 slučaju kad je na području pružanja Javne usluge vlasnik nekretnine odnosno vlasnik posebnog dijela nekretnine obvezu plaćanja Javne usluge ugovorom prenio na korisnika nekrentine ili korisnika posebnog dije</w:t>
      </w:r>
      <w:r w:rsidR="00FD0EE0">
        <w:rPr>
          <w:rFonts w:ascii="Arial Narrow" w:hAnsi="Arial Narrow"/>
        </w:rPr>
        <w:t>la nekretnine tada je vlasnik ne</w:t>
      </w:r>
      <w:r>
        <w:rPr>
          <w:rFonts w:ascii="Arial Narrow" w:hAnsi="Arial Narrow"/>
        </w:rPr>
        <w:t>kretnine dužan o tome obavijestiti Davatelja usluge na način da mu dostavi ovjerenu presliku ugovora sklopljeno</w:t>
      </w:r>
      <w:r w:rsidR="00FD0EE0">
        <w:rPr>
          <w:rFonts w:ascii="Arial Narrow" w:hAnsi="Arial Narrow"/>
        </w:rPr>
        <w:t>g između vlasnika i korisn</w:t>
      </w:r>
      <w:r>
        <w:rPr>
          <w:rFonts w:ascii="Arial Narrow" w:hAnsi="Arial Narrow"/>
        </w:rPr>
        <w:t>ika o korištenju nekretnine.</w:t>
      </w:r>
    </w:p>
    <w:p w:rsidR="00FD0EE0" w:rsidRDefault="00FD0EE0" w:rsidP="007E339E">
      <w:pPr>
        <w:jc w:val="both"/>
        <w:rPr>
          <w:rFonts w:ascii="Arial Narrow" w:hAnsi="Arial Narrow"/>
        </w:rPr>
      </w:pPr>
    </w:p>
    <w:p w:rsidR="00BE7A30" w:rsidRDefault="00BE7A30" w:rsidP="007E339E">
      <w:pPr>
        <w:jc w:val="both"/>
        <w:rPr>
          <w:rFonts w:ascii="Arial Narrow" w:hAnsi="Arial Narrow"/>
        </w:rPr>
      </w:pPr>
      <w:r w:rsidRPr="00D024FA">
        <w:rPr>
          <w:rFonts w:ascii="Arial Narrow" w:hAnsi="Arial Narrow"/>
        </w:rPr>
        <w:t xml:space="preserve">Korisnik usluge dužan je obavijestiti davatelja  usluge o svakoj promjeni podataka iz </w:t>
      </w:r>
      <w:r>
        <w:rPr>
          <w:rFonts w:ascii="Arial Narrow" w:hAnsi="Arial Narrow"/>
        </w:rPr>
        <w:t xml:space="preserve">Izjave u roku od </w:t>
      </w:r>
      <w:r w:rsidR="00136EBE">
        <w:rPr>
          <w:rFonts w:ascii="Arial Narrow" w:hAnsi="Arial Narrow"/>
        </w:rPr>
        <w:t>15</w:t>
      </w:r>
      <w:r w:rsidRPr="00D024FA">
        <w:rPr>
          <w:rFonts w:ascii="Arial Narrow" w:hAnsi="Arial Narrow"/>
        </w:rPr>
        <w:t xml:space="preserve"> dana od dana kada je nastupila promjena, kao i o svakoj drugoj namjeravanoj promjeni podataka iz Izjave u roku od </w:t>
      </w:r>
      <w:r w:rsidR="00136EBE">
        <w:rPr>
          <w:rFonts w:ascii="Arial Narrow" w:hAnsi="Arial Narrow"/>
        </w:rPr>
        <w:t>15</w:t>
      </w:r>
      <w:r w:rsidRPr="00D024FA">
        <w:rPr>
          <w:rFonts w:ascii="Arial Narrow" w:hAnsi="Arial Narrow"/>
        </w:rPr>
        <w:t xml:space="preserve"> dana prije dana od kojeg će se primjenjivati namjeravana promjena.</w:t>
      </w:r>
    </w:p>
    <w:p w:rsidR="007E339E" w:rsidRDefault="007E339E" w:rsidP="007E339E">
      <w:pPr>
        <w:jc w:val="both"/>
        <w:rPr>
          <w:rFonts w:ascii="Arial Narrow" w:hAnsi="Arial Narrow"/>
        </w:rPr>
      </w:pPr>
    </w:p>
    <w:p w:rsidR="00BE7A30" w:rsidRDefault="00BE7A30" w:rsidP="007E339E">
      <w:pPr>
        <w:jc w:val="both"/>
        <w:rPr>
          <w:rFonts w:ascii="Arial Narrow" w:hAnsi="Arial Narrow"/>
        </w:rPr>
      </w:pPr>
      <w:r w:rsidRPr="00D024FA">
        <w:rPr>
          <w:rFonts w:ascii="Arial Narrow" w:hAnsi="Arial Narrow"/>
        </w:rPr>
        <w:t>U slučaju pozitivnog očitovanja korisnika usluge o vlastitom kompostiranju, davatelj usluge izvršit će provjeru istinitosti očitovanja uvidom u komposter ili kompostište korisnika usluge, te izdati potvrdu kao dokaz o vlastitom kompostiranju.</w:t>
      </w:r>
    </w:p>
    <w:p w:rsidR="007E339E" w:rsidRDefault="007E339E" w:rsidP="007E339E">
      <w:pPr>
        <w:jc w:val="both"/>
        <w:rPr>
          <w:rFonts w:ascii="Arial Narrow" w:hAnsi="Arial Narrow"/>
        </w:rPr>
      </w:pPr>
    </w:p>
    <w:p w:rsidR="00BE7A30" w:rsidRDefault="00BE7A30" w:rsidP="007E339E">
      <w:pPr>
        <w:jc w:val="both"/>
        <w:rPr>
          <w:rFonts w:ascii="Arial Narrow" w:hAnsi="Arial Narrow"/>
        </w:rPr>
      </w:pPr>
      <w:r w:rsidRPr="00D024FA">
        <w:rPr>
          <w:rFonts w:ascii="Arial Narrow" w:hAnsi="Arial Narrow"/>
        </w:rPr>
        <w:t>Korisnik usluge može se informirati o propisanim odredbama koje uređuju sustav sakupljanja komunalnog otpada (Odluka, Cjenik, Zakon i Uredba) na mrežnoj stranici ('www.</w:t>
      </w:r>
      <w:r>
        <w:rPr>
          <w:rFonts w:ascii="Arial Narrow" w:hAnsi="Arial Narrow"/>
        </w:rPr>
        <w:t>ivkom</w:t>
      </w:r>
      <w:r w:rsidRPr="00D024FA">
        <w:rPr>
          <w:rFonts w:ascii="Arial Narrow" w:hAnsi="Arial Narrow"/>
        </w:rPr>
        <w:t xml:space="preserve">.hr) ili u prostorijama </w:t>
      </w:r>
      <w:r>
        <w:rPr>
          <w:rFonts w:ascii="Arial Narrow" w:hAnsi="Arial Narrow"/>
        </w:rPr>
        <w:t>Ivkom -a</w:t>
      </w:r>
      <w:r w:rsidRPr="00D024FA">
        <w:rPr>
          <w:rFonts w:ascii="Arial Narrow" w:hAnsi="Arial Narrow"/>
        </w:rPr>
        <w:t xml:space="preserve"> d.o.o.</w:t>
      </w:r>
    </w:p>
    <w:p w:rsidR="007E339E" w:rsidRDefault="007E339E" w:rsidP="007E339E">
      <w:pPr>
        <w:jc w:val="both"/>
        <w:rPr>
          <w:rFonts w:ascii="Arial Narrow" w:hAnsi="Arial Narrow"/>
        </w:rPr>
      </w:pPr>
    </w:p>
    <w:p w:rsidR="00BE7A30" w:rsidRDefault="00BE7A30" w:rsidP="007E339E">
      <w:pPr>
        <w:jc w:val="both"/>
      </w:pPr>
      <w:r w:rsidRPr="00D024FA">
        <w:rPr>
          <w:rFonts w:ascii="Arial Narrow" w:hAnsi="Arial Narrow"/>
        </w:rPr>
        <w:t>Ugovor o korištenju usluge smatra se sklopljenim kada korisnik usluge dostavi Izjavu ili  prilikom prvog korištenja javne usluge ili zaprimanja na korištenje spremnika za miješani komunalni otpad ukoliko korisnik ne dostavi Izjavu.</w:t>
      </w:r>
    </w:p>
    <w:p w:rsidR="00BE7A30" w:rsidRDefault="00BE7A30" w:rsidP="007E339E">
      <w:pPr>
        <w:jc w:val="both"/>
      </w:pPr>
    </w:p>
    <w:sectPr w:rsidR="00BE7A30" w:rsidSect="004B7992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F3"/>
    <w:rsid w:val="00007199"/>
    <w:rsid w:val="00136EBE"/>
    <w:rsid w:val="002045C7"/>
    <w:rsid w:val="004B7992"/>
    <w:rsid w:val="00594AE8"/>
    <w:rsid w:val="007E339E"/>
    <w:rsid w:val="0085112A"/>
    <w:rsid w:val="009D5680"/>
    <w:rsid w:val="00AD4AAF"/>
    <w:rsid w:val="00BE7A30"/>
    <w:rsid w:val="00C34064"/>
    <w:rsid w:val="00D64150"/>
    <w:rsid w:val="00F07EF3"/>
    <w:rsid w:val="00F635C3"/>
    <w:rsid w:val="00F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45E83-261C-4EC5-80E5-1CF2FA16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Opcina1</cp:lastModifiedBy>
  <cp:revision>2</cp:revision>
  <dcterms:created xsi:type="dcterms:W3CDTF">2018-01-05T06:41:00Z</dcterms:created>
  <dcterms:modified xsi:type="dcterms:W3CDTF">2018-01-05T06:41:00Z</dcterms:modified>
</cp:coreProperties>
</file>